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0B" w:rsidRDefault="009E6A69" w:rsidP="00B4105A">
      <w:pPr>
        <w:jc w:val="center"/>
        <w:rPr>
          <w:rFonts w:ascii="方正小标宋简体" w:eastAsia="方正小标宋简体"/>
          <w:sz w:val="36"/>
          <w:szCs w:val="36"/>
        </w:rPr>
      </w:pPr>
      <w:r w:rsidRPr="009E6A69">
        <w:rPr>
          <w:rFonts w:ascii="方正小标宋简体" w:eastAsia="方正小标宋简体" w:hint="eastAsia"/>
          <w:sz w:val="36"/>
          <w:szCs w:val="36"/>
        </w:rPr>
        <w:t>电力传动预测控制</w:t>
      </w:r>
      <w:r w:rsidR="00B4105A">
        <w:rPr>
          <w:rFonts w:ascii="方正小标宋简体" w:eastAsia="方正小标宋简体" w:hint="eastAsia"/>
          <w:sz w:val="36"/>
          <w:szCs w:val="36"/>
        </w:rPr>
        <w:t>课程大纲</w:t>
      </w:r>
    </w:p>
    <w:p w:rsidR="00B4105A" w:rsidRDefault="00B4105A" w:rsidP="00B4105A">
      <w:pPr>
        <w:jc w:val="center"/>
        <w:rPr>
          <w:rFonts w:ascii="宋体" w:eastAsia="宋体" w:hAnsi="宋体"/>
          <w:sz w:val="32"/>
          <w:szCs w:val="32"/>
        </w:rPr>
      </w:pP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一、教学</w:t>
      </w:r>
      <w:r>
        <w:rPr>
          <w:rFonts w:ascii="黑体" w:eastAsia="黑体" w:hAnsi="黑体"/>
          <w:sz w:val="30"/>
          <w:szCs w:val="30"/>
        </w:rPr>
        <w:t>目的、要求</w:t>
      </w:r>
    </w:p>
    <w:p w:rsidR="007E1035" w:rsidRDefault="007E1035" w:rsidP="008D6F58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本课程</w:t>
      </w:r>
      <w:r w:rsidR="00BD3EBF">
        <w:rPr>
          <w:rFonts w:ascii="仿宋_GB2312" w:eastAsia="仿宋_GB2312" w:hAnsi="宋体" w:hint="eastAsia"/>
          <w:sz w:val="30"/>
          <w:szCs w:val="30"/>
        </w:rPr>
        <w:t>是</w:t>
      </w:r>
      <w:r w:rsidR="00DE5CDB">
        <w:rPr>
          <w:rFonts w:ascii="仿宋_GB2312" w:eastAsia="仿宋_GB2312" w:hAnsi="宋体" w:hint="eastAsia"/>
          <w:sz w:val="30"/>
          <w:szCs w:val="30"/>
        </w:rPr>
        <w:t>讲解</w:t>
      </w:r>
      <w:r w:rsidR="00C57FD6">
        <w:rPr>
          <w:rFonts w:ascii="仿宋_GB2312" w:eastAsia="仿宋_GB2312" w:hAnsi="宋体" w:hint="eastAsia"/>
          <w:sz w:val="30"/>
          <w:szCs w:val="30"/>
        </w:rPr>
        <w:t>预测控制理论在电力电子与电力传动领域</w:t>
      </w:r>
      <w:r w:rsidR="008D6F58">
        <w:rPr>
          <w:rFonts w:ascii="仿宋_GB2312" w:eastAsia="仿宋_GB2312" w:hAnsi="宋体" w:hint="eastAsia"/>
          <w:sz w:val="30"/>
          <w:szCs w:val="30"/>
        </w:rPr>
        <w:t>的</w:t>
      </w:r>
      <w:r w:rsidR="00C57FD6">
        <w:rPr>
          <w:rFonts w:ascii="仿宋_GB2312" w:eastAsia="仿宋_GB2312" w:hAnsi="宋体" w:hint="eastAsia"/>
          <w:sz w:val="30"/>
          <w:szCs w:val="30"/>
        </w:rPr>
        <w:t>最新理论发展与应用。</w:t>
      </w:r>
      <w:r w:rsidR="00E86475" w:rsidRPr="00E86475">
        <w:rPr>
          <w:rFonts w:ascii="仿宋_GB2312" w:eastAsia="仿宋_GB2312" w:hAnsi="宋体" w:hint="eastAsia"/>
          <w:sz w:val="30"/>
          <w:szCs w:val="30"/>
        </w:rPr>
        <w:t>通过课程教学，使得学生掌握模型预测控制理论在感应电机、永磁同步电机、交直流变换系统等应用，包括算法设计、仿真实现、平台测试等。</w:t>
      </w:r>
    </w:p>
    <w:p w:rsidR="007E1035" w:rsidRPr="007E1035" w:rsidRDefault="007E1035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 w:rsidR="00992E63"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修课程</w:t>
      </w:r>
    </w:p>
    <w:p w:rsidR="003046C0" w:rsidRDefault="00AF2090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无</w:t>
      </w:r>
    </w:p>
    <w:p w:rsidR="007E1035" w:rsidRPr="007E1035" w:rsidRDefault="007E1035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适用对象</w:t>
      </w:r>
    </w:p>
    <w:p w:rsidR="007E1035" w:rsidRPr="00BD3EBF" w:rsidRDefault="001A5C9A" w:rsidP="007E1035">
      <w:pPr>
        <w:ind w:firstLineChars="200" w:firstLine="600"/>
        <w:jc w:val="left"/>
        <w:rPr>
          <w:rFonts w:ascii="仿宋_GB2312" w:eastAsia="仿宋_GB2312" w:hAnsi="宋体"/>
          <w:color w:val="000000" w:themeColor="text1"/>
          <w:sz w:val="30"/>
          <w:szCs w:val="30"/>
        </w:rPr>
      </w:pPr>
      <w:r w:rsidRPr="00BD3EBF">
        <w:rPr>
          <w:rFonts w:ascii="仿宋_GB2312" w:eastAsia="仿宋_GB2312" w:hAnsi="宋体" w:hint="eastAsia"/>
          <w:color w:val="000000" w:themeColor="text1"/>
          <w:sz w:val="30"/>
          <w:szCs w:val="30"/>
        </w:rPr>
        <w:t>博士研究生</w:t>
      </w: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授课方式</w:t>
      </w:r>
    </w:p>
    <w:p w:rsidR="007E1035" w:rsidRDefault="00843E0A" w:rsidP="00843E0A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</w:t>
      </w:r>
      <w:r w:rsidR="00BD3EBF">
        <w:rPr>
          <w:rFonts w:ascii="仿宋_GB2312" w:eastAsia="仿宋_GB2312" w:hAnsi="宋体" w:hint="eastAsia"/>
          <w:sz w:val="30"/>
          <w:szCs w:val="30"/>
        </w:rPr>
        <w:t>讲授教学</w:t>
      </w:r>
    </w:p>
    <w:p w:rsid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课程内容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第一部分</w:t>
      </w:r>
      <w:r w:rsidRPr="00843E0A">
        <w:rPr>
          <w:rFonts w:ascii="仿宋_GB2312" w:eastAsia="仿宋_GB2312" w:hAnsi="宋体"/>
          <w:sz w:val="30"/>
          <w:szCs w:val="30"/>
        </w:rPr>
        <w:t xml:space="preserve">  交流电机数学模型及坐标变换原理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第二部分</w:t>
      </w:r>
      <w:r w:rsidRPr="00843E0A">
        <w:rPr>
          <w:rFonts w:ascii="仿宋_GB2312" w:eastAsia="仿宋_GB2312" w:hAnsi="宋体"/>
          <w:sz w:val="30"/>
          <w:szCs w:val="30"/>
        </w:rPr>
        <w:t xml:space="preserve">  交流电机矢量控制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第三部分</w:t>
      </w:r>
      <w:r w:rsidRPr="00843E0A">
        <w:rPr>
          <w:rFonts w:ascii="仿宋_GB2312" w:eastAsia="仿宋_GB2312" w:hAnsi="宋体"/>
          <w:sz w:val="30"/>
          <w:szCs w:val="30"/>
        </w:rPr>
        <w:t xml:space="preserve">  交流电机直接转矩控制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第四部分</w:t>
      </w:r>
      <w:r w:rsidRPr="00843E0A">
        <w:rPr>
          <w:rFonts w:ascii="仿宋_GB2312" w:eastAsia="仿宋_GB2312" w:hAnsi="宋体"/>
          <w:sz w:val="30"/>
          <w:szCs w:val="30"/>
        </w:rPr>
        <w:t xml:space="preserve">  有限集模型预测控制及其交流电机应用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第五部分</w:t>
      </w:r>
      <w:r w:rsidRPr="00843E0A">
        <w:rPr>
          <w:rFonts w:ascii="仿宋_GB2312" w:eastAsia="仿宋_GB2312" w:hAnsi="宋体"/>
          <w:sz w:val="30"/>
          <w:szCs w:val="30"/>
        </w:rPr>
        <w:t xml:space="preserve">  连续型模型预测控制及其交流电机应用</w:t>
      </w:r>
    </w:p>
    <w:p w:rsidR="00843E0A" w:rsidRPr="00843E0A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第六部分</w:t>
      </w:r>
      <w:r w:rsidRPr="00843E0A">
        <w:rPr>
          <w:rFonts w:ascii="仿宋_GB2312" w:eastAsia="仿宋_GB2312" w:hAnsi="宋体"/>
          <w:sz w:val="30"/>
          <w:szCs w:val="30"/>
        </w:rPr>
        <w:t xml:space="preserve">  强鲁棒性预测控制</w:t>
      </w:r>
    </w:p>
    <w:p w:rsidR="00BD3EBF" w:rsidRDefault="00843E0A" w:rsidP="00843E0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3E0A">
        <w:rPr>
          <w:rFonts w:ascii="仿宋_GB2312" w:eastAsia="仿宋_GB2312" w:hAnsi="宋体" w:hint="eastAsia"/>
          <w:sz w:val="30"/>
          <w:szCs w:val="30"/>
        </w:rPr>
        <w:t>第七部分</w:t>
      </w:r>
      <w:r w:rsidRPr="00843E0A">
        <w:rPr>
          <w:rFonts w:ascii="仿宋_GB2312" w:eastAsia="仿宋_GB2312" w:hAnsi="宋体"/>
          <w:sz w:val="30"/>
          <w:szCs w:val="30"/>
        </w:rPr>
        <w:t xml:space="preserve">  成本函数设计</w:t>
      </w:r>
    </w:p>
    <w:p w:rsidR="007E1035" w:rsidRDefault="00992E63" w:rsidP="00843E0A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考核方式</w:t>
      </w:r>
    </w:p>
    <w:p w:rsidR="00BD3EBF" w:rsidRDefault="0001257A" w:rsidP="00843E0A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算法</w:t>
      </w:r>
      <w:r w:rsidR="003046C0">
        <w:rPr>
          <w:rFonts w:ascii="黑体" w:eastAsia="黑体" w:hAnsi="黑体" w:hint="eastAsia"/>
          <w:sz w:val="30"/>
          <w:szCs w:val="30"/>
        </w:rPr>
        <w:t>仿真与</w:t>
      </w:r>
      <w:r w:rsidR="00F1640A">
        <w:rPr>
          <w:rFonts w:ascii="黑体" w:eastAsia="黑体" w:hAnsi="黑体" w:hint="eastAsia"/>
          <w:sz w:val="30"/>
          <w:szCs w:val="30"/>
        </w:rPr>
        <w:t>实验</w:t>
      </w:r>
      <w:r>
        <w:rPr>
          <w:rFonts w:ascii="黑体" w:eastAsia="黑体" w:hAnsi="黑体" w:hint="eastAsia"/>
          <w:sz w:val="30"/>
          <w:szCs w:val="30"/>
        </w:rPr>
        <w:t>平台测试。</w:t>
      </w: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356FCE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教材（</w:t>
      </w:r>
      <w:r w:rsidR="008F6261" w:rsidRPr="001548F7">
        <w:rPr>
          <w:rFonts w:ascii="黑体" w:eastAsia="黑体" w:hAnsi="黑体" w:hint="eastAsia"/>
          <w:sz w:val="30"/>
          <w:szCs w:val="30"/>
        </w:rPr>
        <w:t>限1本，包含教材名称、教材主编、出版年月和出版社</w:t>
      </w:r>
      <w:r w:rsidR="008F6261">
        <w:rPr>
          <w:rFonts w:ascii="黑体" w:eastAsia="黑体" w:hAnsi="黑体" w:hint="eastAsia"/>
          <w:sz w:val="30"/>
          <w:szCs w:val="30"/>
        </w:rPr>
        <w:t>）</w:t>
      </w:r>
    </w:p>
    <w:p w:rsidR="0042678B" w:rsidRDefault="00567243" w:rsidP="004B4AE1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[1] </w:t>
      </w:r>
      <w:r w:rsidR="0042678B" w:rsidRPr="0042678B">
        <w:rPr>
          <w:rFonts w:ascii="Times New Roman" w:eastAsia="仿宋_GB2312" w:hAnsi="Times New Roman" w:cs="Times New Roman"/>
          <w:sz w:val="28"/>
          <w:szCs w:val="28"/>
        </w:rPr>
        <w:t>Jose Rodriguez, Patricio Cortes</w:t>
      </w:r>
      <w:r w:rsidR="003046C0" w:rsidRPr="003046C0">
        <w:rPr>
          <w:rFonts w:ascii="Times New Roman" w:eastAsia="仿宋_GB2312" w:hAnsi="Times New Roman" w:cs="Times New Roman"/>
          <w:sz w:val="28"/>
          <w:szCs w:val="28"/>
        </w:rPr>
        <w:t>. Predictive Control of Power</w:t>
      </w:r>
      <w:r w:rsidR="00DC60A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3046C0" w:rsidRPr="003046C0">
        <w:rPr>
          <w:rFonts w:ascii="Times New Roman" w:eastAsia="仿宋_GB2312" w:hAnsi="Times New Roman" w:cs="Times New Roman"/>
          <w:sz w:val="28"/>
          <w:szCs w:val="28"/>
        </w:rPr>
        <w:t>Converters and Electrical Drives[M]. A John Wiley &amp; Sons, Ltd.</w:t>
      </w:r>
      <w:r w:rsidR="00DC60A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3046C0" w:rsidRPr="003046C0">
        <w:rPr>
          <w:rFonts w:ascii="Times New Roman" w:eastAsia="仿宋_GB2312" w:hAnsi="Times New Roman" w:cs="Times New Roman"/>
          <w:sz w:val="28"/>
          <w:szCs w:val="28"/>
        </w:rPr>
        <w:t>Publication, 2012.</w:t>
      </w:r>
    </w:p>
    <w:p w:rsid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参考书</w:t>
      </w:r>
      <w:r w:rsidR="00360488">
        <w:rPr>
          <w:rFonts w:ascii="黑体" w:eastAsia="黑体" w:hAnsi="黑体" w:hint="eastAsia"/>
          <w:sz w:val="30"/>
          <w:szCs w:val="30"/>
        </w:rPr>
        <w:t>（</w:t>
      </w:r>
      <w:r w:rsidR="00360488" w:rsidRPr="009B3BD9">
        <w:rPr>
          <w:rFonts w:ascii="黑体" w:eastAsia="黑体" w:hAnsi="黑体" w:hint="eastAsia"/>
          <w:sz w:val="30"/>
          <w:szCs w:val="30"/>
        </w:rPr>
        <w:t>包含教材名称、教材主编、出版年月和出版社</w:t>
      </w:r>
      <w:r w:rsidR="00360488">
        <w:rPr>
          <w:rFonts w:ascii="黑体" w:eastAsia="黑体" w:hAnsi="黑体" w:hint="eastAsia"/>
          <w:sz w:val="30"/>
          <w:szCs w:val="30"/>
        </w:rPr>
        <w:t>）</w:t>
      </w:r>
    </w:p>
    <w:p w:rsidR="009B3BD9" w:rsidRDefault="0042678B" w:rsidP="0001257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42678B">
        <w:rPr>
          <w:rFonts w:ascii="仿宋_GB2312" w:eastAsia="仿宋_GB2312" w:hAnsi="宋体"/>
          <w:sz w:val="30"/>
          <w:szCs w:val="30"/>
        </w:rPr>
        <w:t>[1]</w:t>
      </w:r>
      <w:r w:rsidR="00567243">
        <w:rPr>
          <w:rFonts w:ascii="仿宋_GB2312" w:eastAsia="仿宋_GB2312" w:hAnsi="宋体"/>
          <w:sz w:val="30"/>
          <w:szCs w:val="30"/>
        </w:rPr>
        <w:t xml:space="preserve"> </w:t>
      </w:r>
      <w:r w:rsidR="009B3BD9" w:rsidRPr="009B3BD9">
        <w:rPr>
          <w:rFonts w:ascii="仿宋_GB2312" w:eastAsia="仿宋_GB2312" w:hAnsi="宋体" w:hint="eastAsia"/>
          <w:sz w:val="30"/>
          <w:szCs w:val="30"/>
        </w:rPr>
        <w:t>席裕庚</w:t>
      </w:r>
      <w:r w:rsidR="009B3BD9" w:rsidRPr="009B3BD9">
        <w:rPr>
          <w:rFonts w:ascii="仿宋_GB2312" w:eastAsia="仿宋_GB2312" w:hAnsi="宋体"/>
          <w:sz w:val="30"/>
          <w:szCs w:val="30"/>
        </w:rPr>
        <w:t>.预测控制[M].第2版.国防工业出版社,2013.</w:t>
      </w:r>
    </w:p>
    <w:p w:rsidR="009B3BD9" w:rsidRDefault="0042678B" w:rsidP="0001257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42678B">
        <w:rPr>
          <w:rFonts w:ascii="仿宋_GB2312" w:eastAsia="仿宋_GB2312" w:hAnsi="宋体"/>
          <w:sz w:val="30"/>
          <w:szCs w:val="30"/>
        </w:rPr>
        <w:t>[2]</w:t>
      </w:r>
      <w:r w:rsidR="00567243">
        <w:rPr>
          <w:rFonts w:ascii="仿宋_GB2312" w:eastAsia="仿宋_GB2312" w:hAnsi="宋体"/>
          <w:sz w:val="30"/>
          <w:szCs w:val="30"/>
        </w:rPr>
        <w:t xml:space="preserve"> </w:t>
      </w:r>
      <w:r w:rsidR="009B3BD9" w:rsidRPr="009B3BD9">
        <w:rPr>
          <w:rFonts w:ascii="仿宋_GB2312" w:eastAsia="仿宋_GB2312" w:hAnsi="宋体" w:hint="eastAsia"/>
          <w:sz w:val="30"/>
          <w:szCs w:val="30"/>
        </w:rPr>
        <w:t>王兆安</w:t>
      </w:r>
      <w:r w:rsidR="009B3BD9" w:rsidRPr="009B3BD9">
        <w:rPr>
          <w:rFonts w:ascii="仿宋_GB2312" w:eastAsia="仿宋_GB2312" w:hAnsi="宋体"/>
          <w:sz w:val="30"/>
          <w:szCs w:val="30"/>
        </w:rPr>
        <w:t>,刘进军.电力电子技术[M].第5版.机械工业出版社, 2009.</w:t>
      </w:r>
      <w:r w:rsidR="009B3BD9" w:rsidRPr="009B3BD9"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9B3BD9" w:rsidRDefault="0042678B" w:rsidP="0001257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[</w:t>
      </w:r>
      <w:r w:rsidR="009B3BD9"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/>
          <w:sz w:val="30"/>
          <w:szCs w:val="30"/>
        </w:rPr>
        <w:t>]</w:t>
      </w:r>
      <w:r w:rsidR="00567243">
        <w:rPr>
          <w:rFonts w:ascii="仿宋_GB2312" w:eastAsia="仿宋_GB2312" w:hAnsi="宋体"/>
          <w:sz w:val="30"/>
          <w:szCs w:val="30"/>
        </w:rPr>
        <w:t xml:space="preserve"> </w:t>
      </w:r>
      <w:r w:rsidR="009B3BD9" w:rsidRPr="009B3BD9">
        <w:rPr>
          <w:rFonts w:ascii="仿宋_GB2312" w:eastAsia="仿宋_GB2312" w:hAnsi="宋体" w:hint="eastAsia"/>
          <w:sz w:val="30"/>
          <w:szCs w:val="30"/>
        </w:rPr>
        <w:t>胡寿松</w:t>
      </w:r>
      <w:r w:rsidR="009B3BD9" w:rsidRPr="009B3BD9">
        <w:rPr>
          <w:rFonts w:ascii="仿宋_GB2312" w:eastAsia="仿宋_GB2312" w:hAnsi="宋体"/>
          <w:sz w:val="30"/>
          <w:szCs w:val="30"/>
        </w:rPr>
        <w:t>.自动控制原理[M].第6版.科学出版社,2013.</w:t>
      </w:r>
    </w:p>
    <w:p w:rsidR="00FF6620" w:rsidRDefault="00FF6620" w:rsidP="0001257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[</w:t>
      </w:r>
      <w:r>
        <w:rPr>
          <w:rFonts w:ascii="仿宋_GB2312" w:eastAsia="仿宋_GB2312" w:hAnsi="宋体"/>
          <w:sz w:val="30"/>
          <w:szCs w:val="30"/>
        </w:rPr>
        <w:t>4]</w:t>
      </w:r>
      <w:r w:rsidR="00567243">
        <w:rPr>
          <w:rFonts w:ascii="仿宋_GB2312" w:eastAsia="仿宋_GB2312" w:hAnsi="宋体"/>
          <w:sz w:val="30"/>
          <w:szCs w:val="30"/>
        </w:rPr>
        <w:t xml:space="preserve"> </w:t>
      </w:r>
      <w:r w:rsidRPr="00FF6620">
        <w:rPr>
          <w:rFonts w:ascii="仿宋_GB2312" w:eastAsia="仿宋_GB2312" w:hAnsi="宋体" w:hint="eastAsia"/>
          <w:sz w:val="30"/>
          <w:szCs w:val="30"/>
        </w:rPr>
        <w:t>寇宝泉</w:t>
      </w:r>
      <w:r w:rsidRPr="00FF6620">
        <w:rPr>
          <w:rFonts w:ascii="仿宋_GB2312" w:eastAsia="仿宋_GB2312" w:hAnsi="宋体"/>
          <w:sz w:val="30"/>
          <w:szCs w:val="30"/>
        </w:rPr>
        <w:t>,程树康.交流伺服电机及其控制[M].机械工业出版社,2008.</w:t>
      </w:r>
    </w:p>
    <w:p w:rsidR="007E1035" w:rsidRPr="007E1035" w:rsidRDefault="00992E63" w:rsidP="009B3BD9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编写成员名单</w:t>
      </w:r>
    </w:p>
    <w:p w:rsidR="007E1035" w:rsidRPr="007E1035" w:rsidRDefault="00843E0A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汪凤翔</w:t>
      </w:r>
      <w:r w:rsidR="007E1035"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福建物质结构</w:t>
      </w:r>
      <w:r w:rsidR="007E1035">
        <w:rPr>
          <w:rFonts w:ascii="仿宋_GB2312" w:eastAsia="仿宋_GB2312" w:hAnsi="宋体" w:hint="eastAsia"/>
          <w:sz w:val="30"/>
          <w:szCs w:val="30"/>
        </w:rPr>
        <w:t>研究所）</w:t>
      </w:r>
    </w:p>
    <w:sectPr w:rsidR="007E1035" w:rsidRPr="007E1035" w:rsidSect="00EF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5B" w:rsidRDefault="00BE1E5B" w:rsidP="00B4105A">
      <w:r>
        <w:separator/>
      </w:r>
    </w:p>
  </w:endnote>
  <w:endnote w:type="continuationSeparator" w:id="0">
    <w:p w:rsidR="00BE1E5B" w:rsidRDefault="00BE1E5B" w:rsidP="00B4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5B" w:rsidRDefault="00BE1E5B" w:rsidP="00B4105A">
      <w:r>
        <w:separator/>
      </w:r>
    </w:p>
  </w:footnote>
  <w:footnote w:type="continuationSeparator" w:id="0">
    <w:p w:rsidR="00BE1E5B" w:rsidRDefault="00BE1E5B" w:rsidP="00B41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zQwNDMwMDY3MjA3NzFQ0lEKTi0uzszPAykwqQUABwhchywAAAA="/>
  </w:docVars>
  <w:rsids>
    <w:rsidRoot w:val="00E43515"/>
    <w:rsid w:val="0001257A"/>
    <w:rsid w:val="00080E9C"/>
    <w:rsid w:val="00091C38"/>
    <w:rsid w:val="00120145"/>
    <w:rsid w:val="001272EA"/>
    <w:rsid w:val="001548F7"/>
    <w:rsid w:val="001A5C9A"/>
    <w:rsid w:val="00282203"/>
    <w:rsid w:val="003046C0"/>
    <w:rsid w:val="0033385A"/>
    <w:rsid w:val="00356FCE"/>
    <w:rsid w:val="00360488"/>
    <w:rsid w:val="0040623D"/>
    <w:rsid w:val="0042678B"/>
    <w:rsid w:val="00475DF3"/>
    <w:rsid w:val="004B4AE1"/>
    <w:rsid w:val="00567243"/>
    <w:rsid w:val="006B22B8"/>
    <w:rsid w:val="007E1035"/>
    <w:rsid w:val="00843E0A"/>
    <w:rsid w:val="008D6F58"/>
    <w:rsid w:val="008F6261"/>
    <w:rsid w:val="00901495"/>
    <w:rsid w:val="00992E63"/>
    <w:rsid w:val="009B3BD9"/>
    <w:rsid w:val="009E6A69"/>
    <w:rsid w:val="00AD1109"/>
    <w:rsid w:val="00AF2090"/>
    <w:rsid w:val="00B270D8"/>
    <w:rsid w:val="00B4105A"/>
    <w:rsid w:val="00B8350B"/>
    <w:rsid w:val="00BB4A95"/>
    <w:rsid w:val="00BD3EBF"/>
    <w:rsid w:val="00BE1E5B"/>
    <w:rsid w:val="00C57FD6"/>
    <w:rsid w:val="00CF0ECA"/>
    <w:rsid w:val="00D51378"/>
    <w:rsid w:val="00D61F47"/>
    <w:rsid w:val="00DC60AE"/>
    <w:rsid w:val="00DD0FBB"/>
    <w:rsid w:val="00DE5CDB"/>
    <w:rsid w:val="00E43515"/>
    <w:rsid w:val="00E86475"/>
    <w:rsid w:val="00EF0905"/>
    <w:rsid w:val="00F1640A"/>
    <w:rsid w:val="00F36B27"/>
    <w:rsid w:val="00F76251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05A"/>
    <w:rPr>
      <w:sz w:val="18"/>
      <w:szCs w:val="18"/>
    </w:rPr>
  </w:style>
  <w:style w:type="paragraph" w:styleId="a5">
    <w:name w:val="List Paragraph"/>
    <w:basedOn w:val="a"/>
    <w:uiPriority w:val="34"/>
    <w:qFormat/>
    <w:rsid w:val="007E10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104</Words>
  <Characters>594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Ariel</cp:lastModifiedBy>
  <cp:revision>27</cp:revision>
  <dcterms:created xsi:type="dcterms:W3CDTF">2021-01-13T03:45:00Z</dcterms:created>
  <dcterms:modified xsi:type="dcterms:W3CDTF">2021-10-19T01:14:00Z</dcterms:modified>
</cp:coreProperties>
</file>